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PARTY ALCOHOL LIABILITY APPLICATION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Through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Capri</w:t>
      </w:r>
      <w:r w:rsidR="0056785D">
        <w:rPr>
          <w:rFonts w:ascii="Arial" w:hAnsi="Arial" w:cs="Arial"/>
          <w:color w:val="000000"/>
          <w:sz w:val="20"/>
          <w:szCs w:val="20"/>
        </w:rPr>
        <w:t>CMW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Insurance Services Ltd.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100 -1500 Hardy Street Kelowna, BC V1Y 8H2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 (250) 860-2426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Toll Free 1-800-670-1877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Fax (250) 860-1213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630E5" w:rsidRP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630E5">
        <w:rPr>
          <w:rFonts w:ascii="Arial" w:hAnsi="Arial" w:cs="Arial"/>
          <w:b/>
          <w:color w:val="000000"/>
          <w:sz w:val="20"/>
          <w:szCs w:val="20"/>
        </w:rPr>
        <w:t>If a liquor permit or liquor license is required by the governing liquor control board, please ensure that it is issued prior to requesting coverage.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Catholic Archdiocese of:______________________________________________________________</w:t>
      </w:r>
      <w:r w:rsidR="00BC5728">
        <w:rPr>
          <w:rFonts w:ascii="Arial" w:hAnsi="Arial" w:cs="Arial"/>
          <w:color w:val="000000"/>
        </w:rPr>
        <w:t>___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INSURED INFORMATION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Insured/ Host:__________________________________________________________________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of Insured:_____________________________________________________________________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Postal Code:__________________________ Telephone No.:___________________________________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 DETAILS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of Function:</w:t>
      </w:r>
      <w:r w:rsidR="00B80EAF" w:rsidRPr="00B80EAF">
        <w:rPr>
          <w:rFonts w:ascii="Arial" w:hAnsi="Arial" w:cs="Arial"/>
          <w:color w:val="000000"/>
        </w:rPr>
        <w:t xml:space="preserve"> </w:t>
      </w:r>
      <w:r w:rsidR="00B80EAF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 xml:space="preserve"> Number of People at</w:t>
      </w:r>
      <w:r w:rsidR="00B80EAF">
        <w:rPr>
          <w:rFonts w:ascii="Arial" w:hAnsi="Arial" w:cs="Arial"/>
          <w:color w:val="000000"/>
        </w:rPr>
        <w:t xml:space="preserve"> Function:______________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Location of Event:_______________________________________________________________</w:t>
      </w:r>
    </w:p>
    <w:p w:rsidR="003630E5" w:rsidRDefault="003630E5" w:rsidP="003630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of Location:____________________________________________________________________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POLICY PERIOD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Policy Period starts one hour prior to the function, and expires at date and time stated below.</w:t>
      </w:r>
    </w:p>
    <w:p w:rsidR="003630E5" w:rsidRDefault="003630E5" w:rsidP="00BC5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Policy period not to exceed one day or the length of time as specified on the liquor permit.</w:t>
      </w:r>
    </w:p>
    <w:p w:rsidR="003630E5" w:rsidRDefault="003630E5" w:rsidP="00BC572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Effective Date:__________________________ </w:t>
      </w:r>
      <w:r>
        <w:rPr>
          <w:rFonts w:ascii="Arial" w:hAnsi="Arial" w:cs="Arial"/>
          <w:color w:val="808080"/>
        </w:rPr>
        <w:t>(mm/</w:t>
      </w:r>
      <w:proofErr w:type="spellStart"/>
      <w:r>
        <w:rPr>
          <w:rFonts w:ascii="Arial" w:hAnsi="Arial" w:cs="Arial"/>
          <w:color w:val="808080"/>
        </w:rPr>
        <w:t>dd</w:t>
      </w:r>
      <w:proofErr w:type="spellEnd"/>
      <w:r>
        <w:rPr>
          <w:rFonts w:ascii="Arial" w:hAnsi="Arial" w:cs="Arial"/>
          <w:color w:val="808080"/>
        </w:rPr>
        <w:t>/</w:t>
      </w:r>
      <w:proofErr w:type="spellStart"/>
      <w:r>
        <w:rPr>
          <w:rFonts w:ascii="Arial" w:hAnsi="Arial" w:cs="Arial"/>
          <w:color w:val="808080"/>
        </w:rPr>
        <w:t>yy</w:t>
      </w:r>
      <w:proofErr w:type="spellEnd"/>
      <w:r>
        <w:rPr>
          <w:rFonts w:ascii="Arial" w:hAnsi="Arial" w:cs="Arial"/>
          <w:color w:val="808080"/>
        </w:rPr>
        <w:t xml:space="preserve">) </w:t>
      </w:r>
      <w:r>
        <w:rPr>
          <w:rFonts w:ascii="Arial" w:hAnsi="Arial" w:cs="Arial"/>
          <w:color w:val="000000"/>
        </w:rPr>
        <w:t>Effective Time:________________ am pm</w:t>
      </w:r>
    </w:p>
    <w:p w:rsidR="003630E5" w:rsidRDefault="003630E5" w:rsidP="00BC572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Expiry Date:____________________________ </w:t>
      </w:r>
      <w:r>
        <w:rPr>
          <w:rFonts w:ascii="Arial" w:hAnsi="Arial" w:cs="Arial"/>
          <w:color w:val="808080"/>
        </w:rPr>
        <w:t>(mm/</w:t>
      </w:r>
      <w:proofErr w:type="spellStart"/>
      <w:r>
        <w:rPr>
          <w:rFonts w:ascii="Arial" w:hAnsi="Arial" w:cs="Arial"/>
          <w:color w:val="808080"/>
        </w:rPr>
        <w:t>dd</w:t>
      </w:r>
      <w:proofErr w:type="spellEnd"/>
      <w:r>
        <w:rPr>
          <w:rFonts w:ascii="Arial" w:hAnsi="Arial" w:cs="Arial"/>
          <w:color w:val="808080"/>
        </w:rPr>
        <w:t>/</w:t>
      </w:r>
      <w:proofErr w:type="spellStart"/>
      <w:r>
        <w:rPr>
          <w:rFonts w:ascii="Arial" w:hAnsi="Arial" w:cs="Arial"/>
          <w:color w:val="808080"/>
        </w:rPr>
        <w:t>yy</w:t>
      </w:r>
      <w:proofErr w:type="spellEnd"/>
      <w:r>
        <w:rPr>
          <w:rFonts w:ascii="Arial" w:hAnsi="Arial" w:cs="Arial"/>
          <w:color w:val="808080"/>
        </w:rPr>
        <w:t xml:space="preserve">) </w:t>
      </w:r>
      <w:r>
        <w:rPr>
          <w:rFonts w:ascii="Arial" w:hAnsi="Arial" w:cs="Arial"/>
          <w:color w:val="000000"/>
        </w:rPr>
        <w:t>Expiry Time:__________________ am pm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LIABILITY DECLARATIONS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Schedule of Limits of Liability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Limits of the insurer’s liability shall be stated herein, subject to all terms of this policy having reference thereto.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4770"/>
        <w:gridCol w:w="1800"/>
      </w:tblGrid>
      <w:tr w:rsidR="002D6ED9" w:rsidTr="002D6ED9">
        <w:tc>
          <w:tcPr>
            <w:tcW w:w="4338" w:type="dxa"/>
            <w:gridSpan w:val="2"/>
          </w:tcPr>
          <w:p w:rsidR="002D6ED9" w:rsidRDefault="002D6ED9" w:rsidP="00363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COVERAGES</w:t>
            </w:r>
          </w:p>
        </w:tc>
        <w:tc>
          <w:tcPr>
            <w:tcW w:w="4770" w:type="dxa"/>
          </w:tcPr>
          <w:p w:rsidR="002D6ED9" w:rsidRDefault="002D6ED9" w:rsidP="00363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 OF LIABILITY</w:t>
            </w:r>
          </w:p>
        </w:tc>
        <w:tc>
          <w:tcPr>
            <w:tcW w:w="1800" w:type="dxa"/>
          </w:tcPr>
          <w:p w:rsidR="002D6ED9" w:rsidRDefault="002D6ED9" w:rsidP="00363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DEDUCTIBLE</w:t>
            </w:r>
          </w:p>
        </w:tc>
      </w:tr>
      <w:tr w:rsidR="002D6ED9" w:rsidTr="002D6ED9">
        <w:trPr>
          <w:trHeight w:val="1421"/>
        </w:trPr>
        <w:tc>
          <w:tcPr>
            <w:tcW w:w="1278" w:type="dxa"/>
          </w:tcPr>
          <w:p w:rsidR="002D6ED9" w:rsidRDefault="002D6ED9" w:rsidP="00363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Inclusive Limit</w:t>
            </w:r>
          </w:p>
        </w:tc>
        <w:tc>
          <w:tcPr>
            <w:tcW w:w="3060" w:type="dxa"/>
          </w:tcPr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Commercial General Liability</w:t>
            </w:r>
          </w:p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 Liquor Extension</w:t>
            </w:r>
          </w:p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Premises</w:t>
            </w:r>
          </w:p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Non-owned auto coverage</w:t>
            </w:r>
          </w:p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Tenants Legal Liability of</w:t>
            </w:r>
          </w:p>
          <w:p w:rsidR="002D6ED9" w:rsidRDefault="0056785D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4770" w:type="dxa"/>
          </w:tcPr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$__,000,000.00  - Bodily Injury each Occurrence</w:t>
            </w:r>
          </w:p>
          <w:p w:rsidR="002D6ED9" w:rsidRPr="002D6ED9" w:rsidRDefault="002D6ED9" w:rsidP="002D6E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02" w:hanging="90"/>
              <w:rPr>
                <w:rFonts w:ascii="Arial" w:hAnsi="Arial" w:cs="Arial"/>
                <w:sz w:val="20"/>
                <w:szCs w:val="20"/>
              </w:rPr>
            </w:pPr>
            <w:r w:rsidRPr="002D6ED9">
              <w:rPr>
                <w:rFonts w:ascii="Arial" w:hAnsi="Arial" w:cs="Arial"/>
                <w:sz w:val="20"/>
                <w:szCs w:val="20"/>
              </w:rPr>
              <w:t>Property Damage each Accident</w:t>
            </w:r>
          </w:p>
          <w:p w:rsidR="002D6ED9" w:rsidRPr="002D6ED9" w:rsidRDefault="002D6ED9" w:rsidP="002D6E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02" w:hanging="90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sz w:val="20"/>
                <w:szCs w:val="20"/>
              </w:rPr>
              <w:t>Aggregate</w:t>
            </w:r>
          </w:p>
        </w:tc>
        <w:tc>
          <w:tcPr>
            <w:tcW w:w="1800" w:type="dxa"/>
          </w:tcPr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6ED9" w:rsidRDefault="002D6ED9" w:rsidP="002D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  <w:p w:rsidR="002D6ED9" w:rsidRDefault="002D6ED9" w:rsidP="00363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PREMIUMS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Premiums below are based on a single day event with no live entertainment nor sports. For multiple day events please submit application for quotation at least one week prior to the event.  Fo</w:t>
      </w:r>
      <w:r w:rsidR="009640B2">
        <w:rPr>
          <w:rFonts w:ascii="Arial" w:hAnsi="Arial" w:cs="Arial"/>
          <w:b/>
          <w:bCs/>
          <w:color w:val="000000"/>
          <w:sz w:val="18"/>
          <w:szCs w:val="18"/>
        </w:rPr>
        <w:t>r events with live entertainment such as concerts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or events with sports please contact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Capri</w:t>
      </w:r>
      <w:r w:rsidR="0056785D">
        <w:rPr>
          <w:rFonts w:ascii="Arial" w:hAnsi="Arial" w:cs="Arial"/>
          <w:b/>
          <w:bCs/>
          <w:color w:val="000000"/>
          <w:sz w:val="18"/>
          <w:szCs w:val="18"/>
        </w:rPr>
        <w:t>CMW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Insurance for a Special Events Liability application. 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D6ED9" w:rsidRPr="002D6ED9" w:rsidTr="002D6ED9">
        <w:tc>
          <w:tcPr>
            <w:tcW w:w="2754" w:type="dxa"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b/>
                <w:bCs/>
                <w:color w:val="000000"/>
              </w:rPr>
              <w:t>Limit of Liability:</w:t>
            </w:r>
          </w:p>
        </w:tc>
        <w:tc>
          <w:tcPr>
            <w:tcW w:w="2754" w:type="dxa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  <w:tc>
          <w:tcPr>
            <w:tcW w:w="2754" w:type="dxa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b/>
                <w:bCs/>
                <w:color w:val="000000"/>
              </w:rPr>
              <w:t>$2,000,000.00</w:t>
            </w:r>
          </w:p>
        </w:tc>
        <w:tc>
          <w:tcPr>
            <w:tcW w:w="2754" w:type="dxa"/>
            <w:vMerge w:val="restart"/>
          </w:tcPr>
          <w:p w:rsid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D6ED9" w:rsidRDefault="002D6ED9" w:rsidP="00BC57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b/>
                <w:bCs/>
                <w:color w:val="000000"/>
              </w:rPr>
              <w:t>Premium Payable:</w:t>
            </w:r>
          </w:p>
          <w:p w:rsidR="002D6ED9" w:rsidRPr="00BC5728" w:rsidRDefault="002D6ED9" w:rsidP="00BC57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BC5728">
              <w:rPr>
                <w:rFonts w:ascii="Arial" w:hAnsi="Arial" w:cs="Arial"/>
                <w:bCs/>
                <w:color w:val="000000"/>
                <w:u w:val="single"/>
              </w:rPr>
              <w:t xml:space="preserve">$ </w:t>
            </w:r>
            <w:r w:rsidR="00BC5728">
              <w:rPr>
                <w:rFonts w:ascii="Arial" w:hAnsi="Arial" w:cs="Arial"/>
                <w:bCs/>
                <w:color w:val="000000"/>
                <w:u w:val="single"/>
              </w:rPr>
              <w:t xml:space="preserve">  </w:t>
            </w:r>
            <w:r w:rsidRPr="00BC5728">
              <w:rPr>
                <w:rFonts w:ascii="Arial" w:hAnsi="Arial" w:cs="Arial"/>
                <w:bCs/>
                <w:color w:val="000000"/>
                <w:u w:val="single"/>
              </w:rPr>
              <w:t xml:space="preserve">        .00</w:t>
            </w:r>
            <w:r w:rsidR="00BC5728">
              <w:rPr>
                <w:rFonts w:ascii="Arial" w:hAnsi="Arial" w:cs="Arial"/>
                <w:bCs/>
                <w:color w:val="000000"/>
                <w:u w:val="single"/>
              </w:rPr>
              <w:t xml:space="preserve"> </w:t>
            </w:r>
          </w:p>
        </w:tc>
      </w:tr>
      <w:tr w:rsidR="002D6ED9" w:rsidRPr="002D6ED9" w:rsidTr="002D6ED9">
        <w:trPr>
          <w:trHeight w:val="70"/>
        </w:trPr>
        <w:tc>
          <w:tcPr>
            <w:tcW w:w="2754" w:type="dxa"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color w:val="000000"/>
              </w:rPr>
              <w:t>1 – 100 guests</w:t>
            </w:r>
          </w:p>
        </w:tc>
        <w:tc>
          <w:tcPr>
            <w:tcW w:w="2754" w:type="dxa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6ED9">
              <w:rPr>
                <w:rFonts w:ascii="Arial" w:hAnsi="Arial" w:cs="Arial"/>
                <w:bCs/>
                <w:color w:val="000000"/>
              </w:rPr>
              <w:t>$96.00</w:t>
            </w:r>
          </w:p>
        </w:tc>
        <w:tc>
          <w:tcPr>
            <w:tcW w:w="2754" w:type="dxa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6ED9">
              <w:rPr>
                <w:rFonts w:ascii="Arial" w:hAnsi="Arial" w:cs="Arial"/>
                <w:bCs/>
                <w:color w:val="000000"/>
              </w:rPr>
              <w:t>$135.00</w:t>
            </w:r>
          </w:p>
        </w:tc>
        <w:tc>
          <w:tcPr>
            <w:tcW w:w="2754" w:type="dxa"/>
            <w:vMerge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6ED9" w:rsidRPr="002D6ED9" w:rsidTr="002D6ED9">
        <w:tc>
          <w:tcPr>
            <w:tcW w:w="2754" w:type="dxa"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color w:val="000000"/>
              </w:rPr>
              <w:t>101 – 500 guests</w:t>
            </w:r>
          </w:p>
        </w:tc>
        <w:tc>
          <w:tcPr>
            <w:tcW w:w="2754" w:type="dxa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6ED9">
              <w:rPr>
                <w:rFonts w:ascii="Arial" w:hAnsi="Arial" w:cs="Arial"/>
                <w:bCs/>
                <w:color w:val="000000"/>
              </w:rPr>
              <w:t>$125.00</w:t>
            </w:r>
          </w:p>
        </w:tc>
        <w:tc>
          <w:tcPr>
            <w:tcW w:w="2754" w:type="dxa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6ED9">
              <w:rPr>
                <w:rFonts w:ascii="Arial" w:hAnsi="Arial" w:cs="Arial"/>
                <w:bCs/>
                <w:color w:val="000000"/>
              </w:rPr>
              <w:t>$165.00</w:t>
            </w:r>
          </w:p>
        </w:tc>
        <w:tc>
          <w:tcPr>
            <w:tcW w:w="2754" w:type="dxa"/>
            <w:vMerge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6ED9" w:rsidRPr="002D6ED9" w:rsidTr="00CB68FF">
        <w:tc>
          <w:tcPr>
            <w:tcW w:w="2754" w:type="dxa"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ED9">
              <w:rPr>
                <w:rFonts w:ascii="Arial" w:hAnsi="Arial" w:cs="Arial"/>
                <w:color w:val="000000"/>
              </w:rPr>
              <w:t>501 + guests</w:t>
            </w:r>
          </w:p>
        </w:tc>
        <w:tc>
          <w:tcPr>
            <w:tcW w:w="5508" w:type="dxa"/>
            <w:gridSpan w:val="2"/>
          </w:tcPr>
          <w:p w:rsidR="002D6ED9" w:rsidRPr="002D6ED9" w:rsidRDefault="002D6ED9" w:rsidP="002D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6ED9">
              <w:rPr>
                <w:rFonts w:ascii="Arial" w:hAnsi="Arial" w:cs="Arial"/>
                <w:color w:val="000000"/>
              </w:rPr>
              <w:t>Call for Quotation</w:t>
            </w:r>
          </w:p>
        </w:tc>
        <w:tc>
          <w:tcPr>
            <w:tcW w:w="2754" w:type="dxa"/>
            <w:vMerge/>
          </w:tcPr>
          <w:p w:rsidR="002D6ED9" w:rsidRPr="002D6ED9" w:rsidRDefault="002D6ED9" w:rsidP="00363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D6ED9" w:rsidRDefault="002D6ED9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PROCEDURES</w:t>
      </w:r>
    </w:p>
    <w:p w:rsidR="003630E5" w:rsidRDefault="003630E5" w:rsidP="00363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application must be completed separately for each Renter. Copy of application and payment must be submitted through the Archdiocese Office to CAPRI</w:t>
      </w:r>
      <w:r w:rsidR="0056785D">
        <w:rPr>
          <w:rFonts w:ascii="Arial" w:hAnsi="Arial" w:cs="Arial"/>
          <w:color w:val="000000"/>
          <w:sz w:val="20"/>
          <w:szCs w:val="20"/>
        </w:rPr>
        <w:t>CMW</w:t>
      </w:r>
      <w:r>
        <w:rPr>
          <w:rFonts w:ascii="Arial" w:hAnsi="Arial" w:cs="Arial"/>
          <w:color w:val="000000"/>
          <w:sz w:val="20"/>
          <w:szCs w:val="20"/>
        </w:rPr>
        <w:t xml:space="preserve"> INSURANCE </w:t>
      </w:r>
      <w:r w:rsidRPr="003630E5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prior to the event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BACK DATING </w:t>
      </w:r>
      <w:r>
        <w:rPr>
          <w:rFonts w:ascii="Arial" w:hAnsi="Arial" w:cs="Arial"/>
          <w:color w:val="000000"/>
          <w:sz w:val="20"/>
          <w:szCs w:val="20"/>
        </w:rPr>
        <w:t>of the Application nor Certificate is permissible. Once bound, application is attached to and forms part of the policy.</w:t>
      </w:r>
    </w:p>
    <w:p w:rsidR="003630E5" w:rsidRPr="00BC5728" w:rsidRDefault="003630E5" w:rsidP="00BC5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30E5" w:rsidRPr="00BC5728" w:rsidRDefault="003630E5" w:rsidP="00BC5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5728">
        <w:rPr>
          <w:rFonts w:ascii="Arial" w:hAnsi="Arial" w:cs="Arial"/>
          <w:color w:val="000000"/>
          <w:sz w:val="20"/>
          <w:szCs w:val="20"/>
        </w:rPr>
        <w:t>Signature of Insured:</w:t>
      </w:r>
      <w:r w:rsidR="002D6ED9" w:rsidRPr="00BC5728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 </w:t>
      </w:r>
      <w:r w:rsidRPr="00BC5728">
        <w:rPr>
          <w:rFonts w:ascii="Arial" w:hAnsi="Arial" w:cs="Arial"/>
          <w:color w:val="000000"/>
          <w:sz w:val="20"/>
          <w:szCs w:val="20"/>
        </w:rPr>
        <w:t>Date:</w:t>
      </w:r>
      <w:r w:rsidR="002D6ED9" w:rsidRPr="00BC5728">
        <w:rPr>
          <w:rFonts w:ascii="Arial" w:hAnsi="Arial" w:cs="Arial"/>
          <w:color w:val="000000"/>
          <w:sz w:val="20"/>
          <w:szCs w:val="20"/>
        </w:rPr>
        <w:t>___________________</w:t>
      </w:r>
      <w:r w:rsidR="00BC5728">
        <w:rPr>
          <w:rFonts w:ascii="Arial" w:hAnsi="Arial" w:cs="Arial"/>
          <w:color w:val="000000"/>
          <w:sz w:val="20"/>
          <w:szCs w:val="20"/>
        </w:rPr>
        <w:t>____</w:t>
      </w:r>
    </w:p>
    <w:p w:rsidR="002D6ED9" w:rsidRPr="00BC5728" w:rsidRDefault="002D6ED9" w:rsidP="00BC5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D6ED9" w:rsidRPr="00BC5728" w:rsidRDefault="003630E5" w:rsidP="00BC5728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BC5728">
        <w:rPr>
          <w:rFonts w:ascii="Arial" w:hAnsi="Arial" w:cs="Arial"/>
          <w:color w:val="000000"/>
          <w:sz w:val="20"/>
          <w:szCs w:val="20"/>
        </w:rPr>
        <w:t>Name of Broker who approved Application:</w:t>
      </w:r>
      <w:r w:rsidR="002D6ED9" w:rsidRPr="00BC5728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BC5728">
        <w:rPr>
          <w:rFonts w:ascii="Arial" w:hAnsi="Arial" w:cs="Arial"/>
          <w:color w:val="000000"/>
          <w:sz w:val="20"/>
          <w:szCs w:val="20"/>
        </w:rPr>
        <w:t>___</w:t>
      </w:r>
    </w:p>
    <w:p w:rsidR="00BC5728" w:rsidRDefault="003630E5" w:rsidP="00BC5728">
      <w:pPr>
        <w:spacing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BC5728">
        <w:rPr>
          <w:rFonts w:ascii="Arial" w:hAnsi="Arial" w:cs="Arial"/>
          <w:color w:val="000000"/>
          <w:sz w:val="20"/>
          <w:szCs w:val="20"/>
        </w:rPr>
        <w:t>Signature of Broker:</w:t>
      </w:r>
      <w:r w:rsidR="002D6ED9" w:rsidRPr="00BC5728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 </w:t>
      </w:r>
      <w:r w:rsidRPr="00BC5728">
        <w:rPr>
          <w:rFonts w:ascii="Arial" w:hAnsi="Arial" w:cs="Arial"/>
          <w:color w:val="000000"/>
          <w:sz w:val="20"/>
          <w:szCs w:val="20"/>
        </w:rPr>
        <w:t>Date:</w:t>
      </w:r>
      <w:r w:rsidR="002D6ED9" w:rsidRPr="00BC5728">
        <w:rPr>
          <w:rFonts w:ascii="Arial" w:hAnsi="Arial" w:cs="Arial"/>
          <w:color w:val="000000"/>
          <w:sz w:val="20"/>
          <w:szCs w:val="20"/>
        </w:rPr>
        <w:t>_________________</w:t>
      </w:r>
      <w:r w:rsidR="00BC5728">
        <w:rPr>
          <w:rFonts w:ascii="Arial" w:hAnsi="Arial" w:cs="Arial"/>
          <w:color w:val="000000"/>
          <w:sz w:val="20"/>
          <w:szCs w:val="20"/>
        </w:rPr>
        <w:t>____</w:t>
      </w:r>
    </w:p>
    <w:p w:rsidR="003630E5" w:rsidRPr="00BC5728" w:rsidRDefault="003630E5" w:rsidP="00BC5728">
      <w:pPr>
        <w:spacing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 Narrow" w:hAnsi="Arial Narrow" w:cs="Arial Narrow"/>
          <w:color w:val="0000FF"/>
          <w:sz w:val="16"/>
          <w:szCs w:val="16"/>
        </w:rPr>
        <w:t>For purposes of the Insurance Companies Act (Canada), this document was issued in the course of Lloyd’s Underwriters’ insurance business in Canada. 2012</w:t>
      </w:r>
    </w:p>
    <w:sectPr w:rsidR="003630E5" w:rsidRPr="00BC5728" w:rsidSect="00BC572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92F"/>
    <w:multiLevelType w:val="hybridMultilevel"/>
    <w:tmpl w:val="4748154A"/>
    <w:lvl w:ilvl="0" w:tplc="91A865BC">
      <w:start w:val="501"/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AE1197A"/>
    <w:multiLevelType w:val="hybridMultilevel"/>
    <w:tmpl w:val="796CB0F6"/>
    <w:lvl w:ilvl="0" w:tplc="2D9C38B8">
      <w:start w:val="501"/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630E5"/>
    <w:rsid w:val="00160BA2"/>
    <w:rsid w:val="002D6ED9"/>
    <w:rsid w:val="003630E5"/>
    <w:rsid w:val="00424E9A"/>
    <w:rsid w:val="0056785D"/>
    <w:rsid w:val="009640B2"/>
    <w:rsid w:val="0096618F"/>
    <w:rsid w:val="00B80EAF"/>
    <w:rsid w:val="00B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Capri Insurance Services Ltd.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Dendy</dc:creator>
  <cp:keywords/>
  <dc:description/>
  <cp:lastModifiedBy>Jessica Samsam</cp:lastModifiedBy>
  <cp:revision>4</cp:revision>
  <cp:lastPrinted>2012-10-16T00:27:00Z</cp:lastPrinted>
  <dcterms:created xsi:type="dcterms:W3CDTF">2012-06-08T23:30:00Z</dcterms:created>
  <dcterms:modified xsi:type="dcterms:W3CDTF">2018-03-28T16:27:00Z</dcterms:modified>
</cp:coreProperties>
</file>